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FF0A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附件2</w:t>
      </w:r>
      <w:bookmarkStart w:id="0" w:name="_GoBack"/>
      <w:bookmarkEnd w:id="0"/>
    </w:p>
    <w:p w14:paraId="5C7DE62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等线" w:hAnsi="等线" w:eastAsia="等线" w:cs="等线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eastAsia"/>
          <w:sz w:val="40"/>
          <w:szCs w:val="48"/>
          <w:lang w:val="en-US" w:eastAsia="zh-CN"/>
        </w:rPr>
        <w:t>报价总表</w:t>
      </w:r>
    </w:p>
    <w:tbl>
      <w:tblPr>
        <w:tblStyle w:val="2"/>
        <w:tblW w:w="9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640"/>
        <w:gridCol w:w="2650"/>
      </w:tblGrid>
      <w:tr w14:paraId="0800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 w14:paraId="095B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采购资源名称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 w14:paraId="071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年限</w:t>
            </w:r>
          </w:p>
        </w:tc>
        <w:tc>
          <w:tcPr>
            <w:tcW w:w="2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2CC"/>
            <w:vAlign w:val="center"/>
          </w:tcPr>
          <w:p w14:paraId="2306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报价费用总计（元）</w:t>
            </w:r>
          </w:p>
        </w:tc>
      </w:tr>
      <w:tr w14:paraId="391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94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华为云资源租用及云迁移与运维服务</w:t>
            </w:r>
          </w:p>
        </w:tc>
        <w:tc>
          <w:tcPr>
            <w:tcW w:w="3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D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年</w:t>
            </w:r>
          </w:p>
        </w:tc>
        <w:tc>
          <w:tcPr>
            <w:tcW w:w="2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68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A77F9E5"/>
    <w:p w14:paraId="444FBF96"/>
    <w:p w14:paraId="19271F8E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参选方（盖章）：</w:t>
      </w:r>
    </w:p>
    <w:p w14:paraId="20C50DEA">
      <w:pPr>
        <w:ind w:firstLine="441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报价人</w:t>
      </w:r>
      <w:r>
        <w:rPr>
          <w:rFonts w:hint="eastAsia"/>
          <w:lang w:val="en-US" w:eastAsia="zh-CN"/>
        </w:rPr>
        <w:t>：</w:t>
      </w:r>
    </w:p>
    <w:p w14:paraId="7F0704F0">
      <w:pPr>
        <w:ind w:firstLine="441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电话：</w:t>
      </w:r>
    </w:p>
    <w:p w14:paraId="1E3028E1">
      <w:pPr>
        <w:ind w:firstLine="441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日期：</w:t>
      </w:r>
    </w:p>
    <w:p w14:paraId="2296D2E7">
      <w:pPr>
        <w:bidi w:val="0"/>
        <w:jc w:val="left"/>
        <w:rPr>
          <w:rFonts w:hint="eastAsia"/>
          <w:lang w:val="en-US" w:eastAsia="zh-CN"/>
        </w:rPr>
      </w:pPr>
    </w:p>
    <w:p w14:paraId="39E3C2BD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报价明细：</w:t>
      </w:r>
    </w:p>
    <w:tbl>
      <w:tblPr>
        <w:tblStyle w:val="2"/>
        <w:tblW w:w="10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791"/>
        <w:gridCol w:w="1211"/>
        <w:gridCol w:w="1327"/>
        <w:gridCol w:w="1859"/>
      </w:tblGrid>
      <w:tr w14:paraId="15F0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E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8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9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原价/年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7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参选优惠价/年</w:t>
            </w:r>
          </w:p>
        </w:tc>
      </w:tr>
      <w:tr w14:paraId="7BF69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B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域名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F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.com域名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5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9C87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E440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75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3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弹性负载均衡 ELB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1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实例类型：共享型；                                                                                             弹性公网IP                                                                           计费模式：包年/包月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线路：全动态BGP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公网带宽：按流量计费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带宽大小 (Mbit/s)：100 Mbit/s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A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3DA0A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ED73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BA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F7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共享流量包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A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共享流量包 | 全动态BGP | 按流量计费 | 一年 | 8TB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E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E7C2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736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D4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2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弹性云服务器 ECS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9C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通用计算增强型 | c7.xlarge.4 | 4核 | 16GB  | 系统盘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通用型SSD | 200GB                            公网带宽：按流量计费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带宽大小 (Mbit/s)：100 Mbit/s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734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C1A2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A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5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弹性云服务器 ECS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B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通用计算增强型 | c7.2xlarge.4 | 8核 | 32GB | 系统盘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通用型SSD | 500GB                                   公网带宽：按流量计费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带宽大小 (Mbit/s)：100 Mbit/s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9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2E89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49E3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8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云数据库 RDS for MySQL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A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MySQL | 8.0 | 主备 | 独享型 | 8核64GB  | 存储空间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SSD云盘 | 500GB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4C56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2165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A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47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分布式缓存服务Redis版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4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基础版 | 5.0 | 主备 | X86 | DRAM | 2 | 4 GB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3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4C5F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DA2E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3A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0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NAT网关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C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F6BC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7793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6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1F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Web应用防火墙（WAF）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8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规格选择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标准版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E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0E2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C91F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1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1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企业主机安全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9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规格：旗舰版                                                                                  数量：5台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3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690E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820B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5F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C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云证书管理服务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6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SSL证书 | OV（企业型） | GeoTrust | 泛域名 | 1年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C2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189D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2708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1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5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云堡垒机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E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实例类型：主备                                                                               性能规格：10资产标准版                                                            带宽: 5 Mbps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6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6373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B5C9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EE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CB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云防火墙 CFW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规格：标准版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F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45BC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1A26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81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4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数据库安全服务 DBSS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B6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数据库安全审计 | 基础版;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F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3D27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C232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C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F0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对象存储服务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7C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标准存储单AZ存储包 | 5TB；                           公网流出流量包 | 100GB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1287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155B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8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7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云日志服务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64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读写流量包：100GB * 2                         索引流量包：100GB * 2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标准存储包100GB * 10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4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03D5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85E7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26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E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消息&amp;短信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2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通知短信（元/条）：20万条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44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65E6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5D1F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2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6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人证核身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BF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人证核身证件版（二要素）：10万次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C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566B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2D24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4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81DD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9BD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8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44BA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E1BF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4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2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3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原价/年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参选优惠价/年</w:t>
            </w:r>
          </w:p>
        </w:tc>
      </w:tr>
      <w:tr w14:paraId="74DE6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0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跨云迁移服务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D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一、迁移前的评估与规划：对现有业务架构进行分析，评估业务系统、数据库、存储数据、云资产情况等信息，评估迁移过程可能存在的技术风险、安全风险。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二、跨云迁移方案制定：确定迁移方式（在线迁移、离线迁移）、目标环境规划、云架构设计。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三、制定风险评估与应对策略。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四、资源映射与差异分析：比较腾讯云与华为云的服务差异（如CVM与ECS、COS与OBS等）。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五、组网实施：协助客户完成专线、虚拟专用网络（VPN）、虚拟私有云（VPC）内网、安全组、ACL等部署实施。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六、基础环境实施：根据上云方案，协助客户完成云上基础设施方案的实施，如协助客户进行ECS、RDS等资源购买与开通。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七、主机迁移：实施主机迁移方案，将应用主机的操作系统整体迁移至华为云。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八、数据库迁移：实施数据库迁移方案，协助客户完成全量与增量数据库迁移实施。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九、存储数据迁移：协助客户，实施全量与增量数据迁移，协助客户验证全量与增量数据迁移的效果，完成云下存储数据到云上存储数据的割接。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十、云安全防护体系迁移：协助客户完成业务系统安全防护体系的搭建，包括但不限于网络安全、数据安全、身份与访问管理、安全监控和响应等。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十一、业务压测：针对网页类应用进行网页登录，查看等场景的事务，进行高并发的业务压测，提供并发数、事务成功率、响应时延和TPS等测试指标，针对瓶颈提供优化建议。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业务切换保障：在客户实施业务切换上华为云时，提供华为云基础设施的保障。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5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BFE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176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6655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云运维服务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B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一、云上架构优化服务：定期为应用提供成本和架构优化建议（季度/次）。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二、安全培训服务：安排安全专家（信息安全专业人员CISP）为贵司提供安全意识以及日常网络安全相关的培训（年/次）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三、安全巡检服务：评估基础网络设备、安全设备与安全软件、服务器等有效性，优化安全策略和安全配置，并定期分析设备告警情况，以及时发现安全隐患，并形成《安全巡检报告》（季/次）。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四、漏洞扫描检测服务：排查业务系统（网站）的安全漏洞和存在的安全脆弱性，全面掌控业务系统（网站）的安全状况（季度/次）。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五、安全加固服务：通过对系统层漏洞检测结果的分析，对在检测中发现的系统安全问题进行安全加固，提高系统的整体安全性能（季度/次）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六、安全保障服务：提供7×24小时电话咨询或远程维护方式服务支持。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七、现场应急响应服务：当网络和信息系统遇到黑客攻击或网页篡改等恶性事件，并且远程支持无法解决时，安全服务商将在2小时内到达现场，实施最有效的紧急救援及恢复补救方案。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八、安全通告服务：提供最新的安全动态、技术和安全信息，包括实时安全漏洞通知、定期安全通告汇总和安全知识库更新等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九、渗透测试服务：对目标系统进行渗透测试，并提交安全检测报告，模拟黑客对目标系统进行渗透攻击，深度挖掘目标系统的漏洞与脆弱性（年/2次）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十、安全管理制度完善服务：对现有安全管理制度进行调研，针对不足进行整改，完善管理制度。（年/次）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网站安全监控服务：提供定期汇总安全监控情况，并提交详细的监控报告。（季度/次）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6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601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C9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8C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349C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CB55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1DD0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D2DC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4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503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报价费用总计（元）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2F19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DF46984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95D19"/>
    <w:rsid w:val="46995D19"/>
    <w:rsid w:val="472B71C2"/>
    <w:rsid w:val="4F0F638C"/>
    <w:rsid w:val="735C3248"/>
    <w:rsid w:val="772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2013</Characters>
  <Lines>0</Lines>
  <Paragraphs>0</Paragraphs>
  <TotalTime>4</TotalTime>
  <ScaleCrop>false</ScaleCrop>
  <LinksUpToDate>false</LinksUpToDate>
  <CharactersWithSpaces>2651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2024-11-29T09:07:00Z</dcterms:created>
  <dc:creator>陈成</dc:creator>
  <cp:lastModifiedBy>Chen Xiao</cp:lastModifiedBy>
  <cp:lastPrinted>2024-12-03T09:53:01Z</cp:lastPrinted>
  <dcterms:modified xsi:type="dcterms:W3CDTF">2024-12-03T09:55:38Z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AABCCA25EFBE4DF78389F0903B57261D_11</vt:lpwstr>
  </property>
</Properties>
</file>